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center"/>
      </w:pPr>
      <w:r>
        <w:rPr>
          <w:rFonts w:ascii="Arial" w:hAnsi="Arial"/>
          <w:b/>
          <w:color w:val="1E304E"/>
          <w:sz w:val="44"/>
        </w:rPr>
        <w:t>Certification Process</w:t>
      </w:r>
    </w:p>
    <w:p>
      <w:pPr>
        <w:spacing w:after="120"/>
        <w:jc w:val="center"/>
      </w:pPr>
      <w:r>
        <w:rPr>
          <w:rFonts w:ascii="Arial" w:hAnsi="Arial"/>
          <w:color w:val="5A5A5A"/>
          <w:sz w:val="22"/>
        </w:rPr>
        <w:t>Reliable Certification (SMC-Private) Limited</w:t>
      </w:r>
    </w:p>
    <w:p>
      <w:pPr>
        <w:spacing w:after="0"/>
        <w:jc w:val="center"/>
      </w:pPr>
      <w:r>
        <w:drawing>
          <wp:inline xmlns:a="http://schemas.openxmlformats.org/drawingml/2006/main" xmlns:pic="http://schemas.openxmlformats.org/drawingml/2006/picture">
            <wp:extent cx="7818120" cy="407193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rtification_process_diagram_updated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8120" cy="40719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/>
        <w:jc w:val="center"/>
      </w:pPr>
      <w:r>
        <w:rPr>
          <w:i/>
          <w:sz w:val="20"/>
        </w:rPr>
        <w:t>This process illustrates the certification sequence from initial application through certification, Surveillance 1 and Surveillance 2, after which the cycle returns to Step 1.</w:t>
      </w:r>
    </w:p>
    <w:sectPr w:rsidR="00FC693F" w:rsidRPr="0006063C" w:rsidSect="00034616">
      <w:footerReference w:type="default" r:id="rId10"/>
      <w:pgSz w:w="16834" w:h="11909" w:orient="landscape"/>
      <w:pgMar w:top="605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6464"/>
        <w:sz w:val="16"/>
      </w:rPr>
      <w:t>Reliable Certification (SMC-Private) Limited | Certification Process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Relationship Id="rId1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